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A97C" w14:textId="77777777" w:rsidR="00A728D9" w:rsidRDefault="00A728D9" w:rsidP="00A728D9">
      <w:pPr>
        <w:pStyle w:val="Nadpis3"/>
        <w:numPr>
          <w:ilvl w:val="0"/>
          <w:numId w:val="0"/>
        </w:numPr>
        <w:shd w:val="clear" w:color="auto" w:fill="FFFFFF"/>
        <w:spacing w:before="320" w:after="160"/>
        <w:jc w:val="both"/>
        <w:rPr>
          <w:rFonts w:ascii="Arial" w:hAnsi="Arial" w:cs="Arial"/>
          <w:color w:val="363636"/>
          <w:sz w:val="36"/>
          <w:szCs w:val="36"/>
        </w:rPr>
      </w:pPr>
      <w:r>
        <w:rPr>
          <w:rFonts w:ascii="Arial" w:hAnsi="Arial" w:cs="Arial"/>
          <w:color w:val="363636"/>
          <w:sz w:val="36"/>
          <w:szCs w:val="36"/>
        </w:rPr>
        <w:t>Národní plán doučování</w:t>
      </w:r>
    </w:p>
    <w:p w14:paraId="380EBEE8" w14:textId="1CC6459C" w:rsidR="00A728D9" w:rsidRDefault="00A728D9" w:rsidP="00A728D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Pandemie COVID -19 zasahuje do režimu vzdělávání na českých školách již bezmála </w:t>
      </w:r>
      <w:r>
        <w:rPr>
          <w:rFonts w:ascii="Arial" w:hAnsi="Arial" w:cs="Arial"/>
          <w:color w:val="4A4A4A"/>
        </w:rPr>
        <w:t>dva roky</w:t>
      </w:r>
      <w:r>
        <w:rPr>
          <w:rFonts w:ascii="Arial" w:hAnsi="Arial" w:cs="Arial"/>
          <w:color w:val="4A4A4A"/>
        </w:rPr>
        <w:t>. Výluka prezenční výuky nejen že negativně zasáhla do dosavadních studijních návyků a vzdělávání všech žáků, ale zvýšila rozdíly mezi jednotlivými žáky, zatímco jedněm prospěla nebo je alespoň příliš nezasáhla, u jiných se vzdělávací výsledky zhoršily.</w:t>
      </w:r>
    </w:p>
    <w:p w14:paraId="39E5798F" w14:textId="77777777" w:rsidR="00A728D9" w:rsidRPr="00A728D9" w:rsidRDefault="00A728D9" w:rsidP="00A728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728D9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Národní plán doučování je tedy určen především pro žáky ohrožené školním neúspěchem.</w:t>
      </w:r>
    </w:p>
    <w:p w14:paraId="6348E2E4" w14:textId="77777777" w:rsidR="00A728D9" w:rsidRDefault="00A728D9" w:rsidP="00A728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728D9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Na pokrytí nákladů na doučování žáků rozhodlo MŠMT základním a středním školám rozdělit v tomto roce téměř 250 milionů korun. </w:t>
      </w:r>
    </w:p>
    <w:p w14:paraId="38C05975" w14:textId="326F6DEE" w:rsidR="00A728D9" w:rsidRDefault="00A728D9" w:rsidP="00A728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A728D9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Doučování nemusí být jen dohánění učiva pro dobré známky.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</w:t>
      </w:r>
      <w:r w:rsidRPr="00A728D9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Je to příležitost pro učitele i žáky najít k sobě i k předmětu osobnější a bližší vztah.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</w:t>
      </w:r>
      <w:r w:rsidRPr="00A728D9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Nechceme jen dohánět zameškané, je to příležitost také poznávat dosud skryté.</w:t>
      </w:r>
    </w:p>
    <w:p w14:paraId="4F109F68" w14:textId="302C4FE3" w:rsidR="00D2756A" w:rsidRDefault="00D2756A" w:rsidP="00A728D9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4A4A4A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A4A4A"/>
          <w:sz w:val="25"/>
          <w:szCs w:val="25"/>
          <w:shd w:val="clear" w:color="auto" w:fill="FFFFFF"/>
        </w:rPr>
        <w:t>Dle stanoviska MŠMT doučování ve smyslu Národního plánu obnovy není standardní činností pedagogického pracovníka, která je obsahem druhu práce „učitel“ nebo „vychovatel“ jak ji definuje nařízení vlády č. 222/2010 Sb. V případě takto sjednaného druhu práce se jedná o činnost nad rámec, a proto lze také s doučujícími uzavírat dohodu o pracích konaných mimo pracovní poměr.</w:t>
      </w:r>
    </w:p>
    <w:p w14:paraId="3C16926E" w14:textId="77777777" w:rsidR="004904D6" w:rsidRDefault="004904D6" w:rsidP="004904D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</w:t>
      </w:r>
      <w:r w:rsidRPr="004904D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oučovat mohou nejen pedagogičtí pracovníci daných škol, ale i další odborníci z řad veřejnosti, studenti VŠ, popř. dobrovolníci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14:paraId="5C9CBB1F" w14:textId="52CDE339" w:rsidR="004904D6" w:rsidRDefault="004904D6" w:rsidP="00490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I</w:t>
      </w:r>
      <w:r w:rsidRPr="004904D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nvestice zahrnuté v rámci Národního plánu obnovy jsou rozčleněny do 6 pilířů, které se dále dělí na komponenty a konkrétní akce. Jeden z pilířů se zaměřuje také na vzdělávání a trh práce. Na následující období (roky 2022 až 2023) jsou pro doučování žáků v českých školách vymezené zdroje z Národního plánu obnovy. Doučování probíhá v rámci Komponenty 3.2. NPO – Adaptace kapacity a zaměření školních programů (Investice 3.2.2 – Doučování žáků škol).</w:t>
      </w:r>
    </w:p>
    <w:p w14:paraId="3F92F3D3" w14:textId="77777777" w:rsidR="004904D6" w:rsidRPr="004904D6" w:rsidRDefault="004904D6" w:rsidP="00490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14:paraId="03C38C4D" w14:textId="77777777" w:rsidR="004904D6" w:rsidRPr="004904D6" w:rsidRDefault="004904D6" w:rsidP="00490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904D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Nejedná se o dlouhodobé kontinuální doučování, ale o cílené intenzivní doučování žáků vedoucí k rozvoji jejich znalostí a dovedností v určeném období po návratu k prezenční výuce.</w:t>
      </w:r>
    </w:p>
    <w:p w14:paraId="541D8674" w14:textId="48FC4F3E" w:rsidR="004904D6" w:rsidRPr="004904D6" w:rsidRDefault="004904D6" w:rsidP="004904D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904D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bookmarkStart w:id="0" w:name="_GoBack"/>
      <w:bookmarkEnd w:id="0"/>
    </w:p>
    <w:p w14:paraId="2F0174AF" w14:textId="77777777" w:rsidR="004904D6" w:rsidRPr="00A728D9" w:rsidRDefault="004904D6" w:rsidP="00A728D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sectPr w:rsidR="004904D6" w:rsidRPr="00A728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67B4" w14:textId="77777777" w:rsidR="00DA302E" w:rsidRDefault="00DA302E" w:rsidP="003F53A6">
      <w:r>
        <w:separator/>
      </w:r>
    </w:p>
  </w:endnote>
  <w:endnote w:type="continuationSeparator" w:id="0">
    <w:p w14:paraId="21C3A685" w14:textId="77777777" w:rsidR="00DA302E" w:rsidRDefault="00DA302E" w:rsidP="003F53A6">
      <w:r>
        <w:continuationSeparator/>
      </w:r>
    </w:p>
  </w:endnote>
  <w:endnote w:type="continuationNotice" w:id="1">
    <w:p w14:paraId="1F0B0E68" w14:textId="77777777" w:rsidR="00DA302E" w:rsidRDefault="00DA3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BE68" w14:textId="77777777" w:rsidR="00DA302E" w:rsidRDefault="00DA302E" w:rsidP="003F53A6">
      <w:r>
        <w:separator/>
      </w:r>
    </w:p>
  </w:footnote>
  <w:footnote w:type="continuationSeparator" w:id="0">
    <w:p w14:paraId="21D515B6" w14:textId="77777777" w:rsidR="00DA302E" w:rsidRDefault="00DA302E" w:rsidP="003F53A6">
      <w:r>
        <w:continuationSeparator/>
      </w:r>
    </w:p>
  </w:footnote>
  <w:footnote w:type="continuationNotice" w:id="1">
    <w:p w14:paraId="783EB368" w14:textId="77777777" w:rsidR="00DA302E" w:rsidRDefault="00DA3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F68"/>
    <w:multiLevelType w:val="multilevel"/>
    <w:tmpl w:val="75CA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92A7C"/>
    <w:multiLevelType w:val="multilevel"/>
    <w:tmpl w:val="29C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235ED0"/>
    <w:multiLevelType w:val="multilevel"/>
    <w:tmpl w:val="21E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04D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53CB5"/>
    <w:rsid w:val="009F54B5"/>
    <w:rsid w:val="00A00202"/>
    <w:rsid w:val="00A728D9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2756A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A72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7621CE30C24FA10DAA31A5D6E0A2" ma:contentTypeVersion="12" ma:contentTypeDescription="Vytvoří nový dokument" ma:contentTypeScope="" ma:versionID="9d32c96ab26b7806549e5889b120dda3">
  <xsd:schema xmlns:xsd="http://www.w3.org/2001/XMLSchema" xmlns:xs="http://www.w3.org/2001/XMLSchema" xmlns:p="http://schemas.microsoft.com/office/2006/metadata/properties" xmlns:ns3="cd4794d6-96f2-4c72-9b8e-8048f225945d" xmlns:ns4="85c80d2b-b314-4a68-8f0f-2e68c9c03b0a" targetNamespace="http://schemas.microsoft.com/office/2006/metadata/properties" ma:root="true" ma:fieldsID="77b726439ba5a789c8b66c8993650b9e" ns3:_="" ns4:_="">
    <xsd:import namespace="cd4794d6-96f2-4c72-9b8e-8048f225945d"/>
    <xsd:import namespace="85c80d2b-b314-4a68-8f0f-2e68c9c03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4d6-96f2-4c72-9b8e-8048f225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80d2b-b314-4a68-8f0f-2e68c9c03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cd4794d6-96f2-4c72-9b8e-8048f225945d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c80d2b-b314-4a68-8f0f-2e68c9c03b0a"/>
  </ds:schemaRefs>
</ds:datastoreItem>
</file>

<file path=customXml/itemProps3.xml><?xml version="1.0" encoding="utf-8"?>
<ds:datastoreItem xmlns:ds="http://schemas.openxmlformats.org/officeDocument/2006/customXml" ds:itemID="{D2ACE024-F72F-43F6-B6E0-34157535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94d6-96f2-4c72-9b8e-8048f225945d"/>
    <ds:schemaRef ds:uri="85c80d2b-b314-4a68-8f0f-2e68c9c03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Janošová Eva (ZŠ a MŠ Újezd)</cp:lastModifiedBy>
  <cp:revision>2</cp:revision>
  <dcterms:created xsi:type="dcterms:W3CDTF">2022-02-02T12:54:00Z</dcterms:created>
  <dcterms:modified xsi:type="dcterms:W3CDTF">2022-02-02T12:54:00Z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0x010100ADFD7621CE30C24FA10DAA31A5D6E0A2</vt:lpwstr>
  </property>
</Properties>
</file>